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0" w:rsidRPr="006977E0" w:rsidRDefault="006977E0" w:rsidP="006977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,Bold"/>
          <w:b/>
          <w:bCs/>
        </w:rPr>
        <w:t xml:space="preserve">RI.7.10 </w:t>
      </w:r>
      <w:r w:rsidRPr="006977E0">
        <w:rPr>
          <w:rFonts w:ascii="Georgia" w:hAnsi="Georgia" w:cs="Calibri"/>
        </w:rPr>
        <w:t xml:space="preserve">By the end of the </w:t>
      </w:r>
      <w:proofErr w:type="gramStart"/>
      <w:r w:rsidRPr="006977E0">
        <w:rPr>
          <w:rFonts w:ascii="Georgia" w:hAnsi="Georgia" w:cs="Calibri"/>
        </w:rPr>
        <w:t>year,</w:t>
      </w:r>
      <w:proofErr w:type="gramEnd"/>
      <w:r w:rsidRPr="006977E0">
        <w:rPr>
          <w:rFonts w:ascii="Georgia" w:hAnsi="Georgia" w:cs="Calibri"/>
        </w:rPr>
        <w:t xml:space="preserve"> read and comprehend literary nonfiction in the grades 6–8 text complexity band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proficiently, with scaffolding as needed at the high end of the range.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Strategy/Lesson Suggestions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r w:rsidRPr="006977E0">
        <w:rPr>
          <w:rFonts w:ascii="Georgia" w:hAnsi="Georgia" w:cs="Calibri,Bold"/>
          <w:b/>
          <w:bCs/>
        </w:rPr>
        <w:t>Read, Rate, Reread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1. Assign text to be read in class. Ask students to rate their understanding of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their</w:t>
      </w:r>
      <w:proofErr w:type="gramEnd"/>
      <w:r w:rsidRPr="006977E0">
        <w:rPr>
          <w:rFonts w:ascii="Georgia" w:hAnsi="Georgia" w:cs="Calibri"/>
        </w:rPr>
        <w:t xml:space="preserve"> reading on a scale from 1 to 10 and to list any questions they have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about</w:t>
      </w:r>
      <w:proofErr w:type="gramEnd"/>
      <w:r w:rsidRPr="006977E0">
        <w:rPr>
          <w:rFonts w:ascii="Georgia" w:hAnsi="Georgia" w:cs="Calibri"/>
        </w:rPr>
        <w:t xml:space="preserve"> their reading.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2. Direct students to reread the text and rate their understanding again.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Have them indicate which earlier questions they can now answer.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3. Ask students to work in groups of two or three to discuss any unanswered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questions</w:t>
      </w:r>
      <w:proofErr w:type="gramEnd"/>
      <w:r w:rsidRPr="006977E0">
        <w:rPr>
          <w:rFonts w:ascii="Georgia" w:hAnsi="Georgia" w:cs="Calibri"/>
        </w:rPr>
        <w:t xml:space="preserve"> they still have. Students who answer the questions should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indicate</w:t>
      </w:r>
      <w:proofErr w:type="gramEnd"/>
      <w:r w:rsidRPr="006977E0">
        <w:rPr>
          <w:rFonts w:ascii="Georgia" w:hAnsi="Georgia" w:cs="Calibri"/>
        </w:rPr>
        <w:t xml:space="preserve"> the portion of the text that led them to their answer.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4. Ask students to read the text for a third time and rate their understanding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of</w:t>
      </w:r>
      <w:proofErr w:type="gramEnd"/>
      <w:r w:rsidRPr="006977E0">
        <w:rPr>
          <w:rFonts w:ascii="Georgia" w:hAnsi="Georgia" w:cs="Calibri"/>
        </w:rPr>
        <w:t xml:space="preserve"> the passage one last time.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5. Discuss any remaining questions with the entire class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  <w:r>
        <w:rPr>
          <w:rFonts w:ascii="Georgia" w:hAnsi="Georgia" w:cs="Calibri"/>
          <w:i/>
          <w:noProof/>
          <w:color w:val="595959" w:themeColor="text1" w:themeTint="A6"/>
          <w:sz w:val="20"/>
          <w:szCs w:val="20"/>
        </w:rPr>
        <w:drawing>
          <wp:inline distT="0" distB="0" distL="0" distR="0">
            <wp:extent cx="4791075" cy="1276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proofErr w:type="gramStart"/>
      <w:r>
        <w:rPr>
          <w:rFonts w:ascii="Calibri,Bold" w:hAnsi="Calibri,Bold" w:cs="Calibri,Bold"/>
          <w:b/>
          <w:bCs/>
          <w:color w:val="000000"/>
        </w:rPr>
        <w:t>Strong Evidence Graphic.</w:t>
      </w:r>
      <w:proofErr w:type="gramEnd"/>
      <w:r>
        <w:rPr>
          <w:rFonts w:ascii="Calibri,Bold" w:hAnsi="Calibri,Bold" w:cs="Calibri,Bold"/>
          <w:b/>
          <w:bCs/>
          <w:color w:val="000000"/>
        </w:rPr>
        <w:t xml:space="preserve"> 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This strategy provides students a way to organize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their thinking as they identify the central idea and the evidence to support the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central idea. Evidence is considered strong when it both convinces the reader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and effectively expresses the central idea of the text. Students can mark the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text</w:t>
      </w:r>
      <w:proofErr w:type="gramEnd"/>
      <w:r w:rsidRPr="006977E0">
        <w:rPr>
          <w:rFonts w:ascii="Georgia" w:hAnsi="Georgia" w:cs="Calibri"/>
        </w:rPr>
        <w:t xml:space="preserve"> as they read to guide their thinking. Students may use text features such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as headings, bold words, and graphs. Students may also note repeated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ideas/words or images. Students must use only the strongest pieces of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evidence to uphold the central idea. Teachers need to model this process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through think-</w:t>
      </w:r>
      <w:proofErr w:type="spellStart"/>
      <w:r w:rsidRPr="006977E0">
        <w:rPr>
          <w:rFonts w:ascii="Georgia" w:hAnsi="Georgia" w:cs="Calibri"/>
        </w:rPr>
        <w:t>alouds</w:t>
      </w:r>
      <w:proofErr w:type="spellEnd"/>
      <w:r w:rsidRPr="006977E0">
        <w:rPr>
          <w:rFonts w:ascii="Georgia" w:hAnsi="Georgia" w:cs="Calibri"/>
        </w:rPr>
        <w:t xml:space="preserve"> and guided practice. Model for the students how to fill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out</w:t>
      </w:r>
      <w:proofErr w:type="gramEnd"/>
      <w:r w:rsidRPr="006977E0">
        <w:rPr>
          <w:rFonts w:ascii="Georgia" w:hAnsi="Georgia" w:cs="Calibri"/>
        </w:rPr>
        <w:t xml:space="preserve"> the graphic organizer. Place the evidence on the "muscles" which should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support or "hold up" the central idea (barbell). When students begin this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process, the teacher can provide a central idea and or pieces of evidence. As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students become more proficient they can complete the entire organizer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independently.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Assessment FOR Learning Suggestions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,Bold" w:hAnsi="Calibri,Bold" w:cs="Calibri,Bold"/>
          <w:b/>
          <w:bCs/>
        </w:rPr>
        <w:t>Formative Assessment Tip.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Feedback is provided and recorded on these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suggested artifacts in order to regroup students for targeted learning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opportunities. Teachers are encouraged to strategically score progress with a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watchful</w:t>
      </w:r>
      <w:proofErr w:type="gramEnd"/>
      <w:r w:rsidRPr="006977E0">
        <w:rPr>
          <w:rFonts w:ascii="Georgia" w:hAnsi="Georgia" w:cs="Calibri"/>
        </w:rPr>
        <w:t xml:space="preserve"> eye on the formative assessment process. It is important to keep in</w:t>
      </w:r>
      <w:r>
        <w:rPr>
          <w:rFonts w:ascii="Georgia" w:hAnsi="Georgia" w:cs="Calibri"/>
        </w:rPr>
        <w:t xml:space="preserve"> </w:t>
      </w:r>
      <w:r w:rsidRPr="006977E0">
        <w:rPr>
          <w:rFonts w:ascii="Georgia" w:hAnsi="Georgia" w:cs="Calibri"/>
        </w:rPr>
        <w:t>mind that a “final grade” represents a summative score.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1. Students write a summary or essay that cites the textual evidence that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most</w:t>
      </w:r>
      <w:proofErr w:type="gramEnd"/>
      <w:r w:rsidRPr="006977E0">
        <w:rPr>
          <w:rFonts w:ascii="Georgia" w:hAnsi="Georgia" w:cs="Calibri"/>
        </w:rPr>
        <w:t xml:space="preserve"> strongly supports an analysis of what the text says explicitly as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well</w:t>
      </w:r>
      <w:proofErr w:type="gramEnd"/>
      <w:r w:rsidRPr="006977E0">
        <w:rPr>
          <w:rFonts w:ascii="Georgia" w:hAnsi="Georgia" w:cs="Calibri"/>
        </w:rPr>
        <w:t xml:space="preserve"> as inferences drawn from the text. Aligned assessment and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feedback</w:t>
      </w:r>
      <w:proofErr w:type="gramEnd"/>
      <w:r w:rsidRPr="006977E0">
        <w:rPr>
          <w:rFonts w:ascii="Georgia" w:hAnsi="Georgia" w:cs="Calibri"/>
        </w:rPr>
        <w:t xml:space="preserve"> of writing products can move learning forward with regards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to</w:t>
      </w:r>
      <w:proofErr w:type="gramEnd"/>
      <w:r w:rsidRPr="006977E0">
        <w:rPr>
          <w:rFonts w:ascii="Georgia" w:hAnsi="Georgia" w:cs="Calibri"/>
        </w:rPr>
        <w:t xml:space="preserve"> writing skill, language acquisition, and reading comprehension.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2. Students answer and receive feedback on text dependent questions.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3. Students engage in a variety of discussions &amp;/or Socratic questioning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to</w:t>
      </w:r>
      <w:proofErr w:type="gramEnd"/>
      <w:r w:rsidRPr="006977E0">
        <w:rPr>
          <w:rFonts w:ascii="Georgia" w:hAnsi="Georgia" w:cs="Calibri"/>
        </w:rPr>
        <w:t xml:space="preserve"> display competency with regards to this standards. Aligned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assessment</w:t>
      </w:r>
      <w:proofErr w:type="gramEnd"/>
      <w:r w:rsidRPr="006977E0">
        <w:rPr>
          <w:rFonts w:ascii="Georgia" w:hAnsi="Georgia" w:cs="Calibri"/>
        </w:rPr>
        <w:t xml:space="preserve"> and feedback of speaking and listening skills also promote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growth</w:t>
      </w:r>
      <w:proofErr w:type="gramEnd"/>
      <w:r w:rsidRPr="006977E0">
        <w:rPr>
          <w:rFonts w:ascii="Georgia" w:hAnsi="Georgia" w:cs="Calibri"/>
        </w:rPr>
        <w:t xml:space="preserve"> is this area.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4. Students prepare a visual representation illustrating and citing the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textual</w:t>
      </w:r>
      <w:proofErr w:type="gramEnd"/>
      <w:r w:rsidRPr="006977E0">
        <w:rPr>
          <w:rFonts w:ascii="Georgia" w:hAnsi="Georgia" w:cs="Calibri"/>
        </w:rPr>
        <w:t xml:space="preserve"> evidence that most strongly supports an analysis of what the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text</w:t>
      </w:r>
      <w:proofErr w:type="gramEnd"/>
      <w:r w:rsidRPr="006977E0">
        <w:rPr>
          <w:rFonts w:ascii="Georgia" w:hAnsi="Georgia" w:cs="Calibri"/>
        </w:rPr>
        <w:t xml:space="preserve"> says explicitly as well as inferences that may be drawn.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6977E0">
        <w:rPr>
          <w:rFonts w:ascii="Georgia" w:hAnsi="Georgia" w:cs="Calibri"/>
        </w:rPr>
        <w:t>5. Students engage in formal and informal presentations of a variety of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products</w:t>
      </w:r>
      <w:proofErr w:type="gramEnd"/>
      <w:r w:rsidRPr="006977E0">
        <w:rPr>
          <w:rFonts w:ascii="Georgia" w:hAnsi="Georgia" w:cs="Calibri"/>
        </w:rPr>
        <w:t xml:space="preserve"> outlined above. Aligned assessment and feedback of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speaking</w:t>
      </w:r>
      <w:proofErr w:type="gramEnd"/>
      <w:r w:rsidRPr="006977E0">
        <w:rPr>
          <w:rFonts w:ascii="Georgia" w:hAnsi="Georgia" w:cs="Calibri"/>
        </w:rPr>
        <w:t xml:space="preserve"> and listening skills during presentations also promote growth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6977E0">
        <w:rPr>
          <w:rFonts w:ascii="Georgia" w:hAnsi="Georgia" w:cs="Calibri"/>
        </w:rPr>
        <w:t>is</w:t>
      </w:r>
      <w:proofErr w:type="gramEnd"/>
      <w:r w:rsidRPr="006977E0">
        <w:rPr>
          <w:rFonts w:ascii="Georgia" w:hAnsi="Georgia" w:cs="Calibri"/>
        </w:rPr>
        <w:t xml:space="preserve"> this area.</w:t>
      </w:r>
    </w:p>
    <w:p w:rsidR="00227425" w:rsidRDefault="00227425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gramStart"/>
      <w:r>
        <w:rPr>
          <w:rFonts w:ascii="Calibri,Bold" w:hAnsi="Calibri,Bold" w:cs="Calibri,Bold"/>
          <w:b/>
          <w:bCs/>
        </w:rPr>
        <w:t>Formative Assessment Tip.</w:t>
      </w:r>
      <w:proofErr w:type="gramEnd"/>
      <w:r>
        <w:rPr>
          <w:rFonts w:ascii="Calibri,Bold" w:hAnsi="Calibri,Bold" w:cs="Calibri,Bold"/>
          <w:b/>
          <w:bCs/>
        </w:rPr>
        <w:t xml:space="preserve"> </w:t>
      </w:r>
    </w:p>
    <w:p w:rsid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,Italic"/>
          <w:i/>
          <w:iCs/>
        </w:rPr>
      </w:pPr>
      <w:r w:rsidRPr="00227425">
        <w:rPr>
          <w:rFonts w:ascii="Georgia" w:hAnsi="Georgia" w:cs="Calibri,Italic"/>
          <w:i/>
          <w:iCs/>
        </w:rPr>
        <w:t>Responding to the “I don’t know.”</w:t>
      </w: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227425">
        <w:rPr>
          <w:rFonts w:ascii="Georgia" w:hAnsi="Georgia" w:cs="Calibri"/>
        </w:rPr>
        <w:t>If a student responds to a classroom discussion question with a simple “I</w:t>
      </w: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227425">
        <w:rPr>
          <w:rFonts w:ascii="Georgia" w:hAnsi="Georgia" w:cs="Calibri"/>
        </w:rPr>
        <w:t>don’t</w:t>
      </w:r>
      <w:proofErr w:type="gramEnd"/>
      <w:r w:rsidRPr="00227425">
        <w:rPr>
          <w:rFonts w:ascii="Georgia" w:hAnsi="Georgia" w:cs="Calibri"/>
        </w:rPr>
        <w:t xml:space="preserve"> know”, the teacher can respond with “I will get back to you”. Then a</w:t>
      </w: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227425">
        <w:rPr>
          <w:rFonts w:ascii="Georgia" w:hAnsi="Georgia" w:cs="Calibri"/>
        </w:rPr>
        <w:t>few</w:t>
      </w:r>
      <w:proofErr w:type="gramEnd"/>
      <w:r w:rsidRPr="00227425">
        <w:rPr>
          <w:rFonts w:ascii="Georgia" w:hAnsi="Georgia" w:cs="Calibri"/>
        </w:rPr>
        <w:t xml:space="preserve"> other students are asked to respond to the same question. After several</w:t>
      </w: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227425">
        <w:rPr>
          <w:rFonts w:ascii="Georgia" w:hAnsi="Georgia" w:cs="Calibri"/>
        </w:rPr>
        <w:t>responses</w:t>
      </w:r>
      <w:proofErr w:type="gramEnd"/>
      <w:r w:rsidRPr="00227425">
        <w:rPr>
          <w:rFonts w:ascii="Georgia" w:hAnsi="Georgia" w:cs="Calibri"/>
        </w:rPr>
        <w:t xml:space="preserve"> are shared, the teacher returns to the original student and asks</w:t>
      </w:r>
    </w:p>
    <w:p w:rsid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proofErr w:type="gramStart"/>
      <w:r w:rsidRPr="00227425">
        <w:rPr>
          <w:rFonts w:ascii="Georgia" w:hAnsi="Georgia" w:cs="Calibri"/>
        </w:rPr>
        <w:t>him/her</w:t>
      </w:r>
      <w:proofErr w:type="gramEnd"/>
      <w:r w:rsidRPr="00227425">
        <w:rPr>
          <w:rFonts w:ascii="Georgia" w:hAnsi="Georgia" w:cs="Calibri"/>
        </w:rPr>
        <w:t xml:space="preserve"> which response they agree with the most and why (</w:t>
      </w:r>
      <w:proofErr w:type="spellStart"/>
      <w:r w:rsidRPr="00227425">
        <w:rPr>
          <w:rFonts w:ascii="Georgia" w:hAnsi="Georgia" w:cs="Calibri"/>
        </w:rPr>
        <w:t>Wiliam</w:t>
      </w:r>
      <w:proofErr w:type="spellEnd"/>
      <w:r w:rsidRPr="00227425">
        <w:rPr>
          <w:rFonts w:ascii="Georgia" w:hAnsi="Georgia" w:cs="Calibri"/>
        </w:rPr>
        <w:t>, 2011)</w:t>
      </w:r>
      <w:r w:rsidRPr="00227425">
        <w:rPr>
          <w:rFonts w:ascii="Georgia" w:hAnsi="Georgia" w:cs="Calibri,Bold"/>
          <w:b/>
          <w:bCs/>
        </w:rPr>
        <w:t>.</w:t>
      </w:r>
    </w:p>
    <w:p w:rsid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r w:rsidRPr="00227425">
        <w:rPr>
          <w:rFonts w:ascii="Georgia" w:hAnsi="Georgia" w:cs="Calibri,Bold"/>
          <w:b/>
          <w:bCs/>
        </w:rPr>
        <w:t>References:</w:t>
      </w: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227425">
        <w:rPr>
          <w:rFonts w:ascii="Georgia" w:hAnsi="Georgia" w:cs="Calibri"/>
        </w:rPr>
        <w:t xml:space="preserve">Beers, K. (2003). </w:t>
      </w:r>
      <w:r w:rsidRPr="00227425">
        <w:rPr>
          <w:rFonts w:ascii="Georgia" w:hAnsi="Georgia" w:cs="Calibri,Italic"/>
          <w:i/>
          <w:iCs/>
        </w:rPr>
        <w:t>When Kids Can't Read What Teachers Can Do</w:t>
      </w:r>
      <w:r w:rsidRPr="00227425">
        <w:rPr>
          <w:rFonts w:ascii="Georgia" w:hAnsi="Georgia" w:cs="Calibri"/>
        </w:rPr>
        <w:t>. Portsmouth: Heinemann.</w:t>
      </w: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227425">
        <w:rPr>
          <w:rFonts w:ascii="Georgia" w:hAnsi="Georgia" w:cs="Calibri"/>
        </w:rPr>
        <w:t>Vaughn, J. L., &amp; Estes, T. H. (1986).</w:t>
      </w:r>
      <w:proofErr w:type="gramEnd"/>
      <w:r w:rsidRPr="00227425">
        <w:rPr>
          <w:rFonts w:ascii="Georgia" w:hAnsi="Georgia" w:cs="Calibri"/>
        </w:rPr>
        <w:t xml:space="preserve"> </w:t>
      </w:r>
      <w:r w:rsidRPr="00227425">
        <w:rPr>
          <w:rFonts w:ascii="Georgia" w:hAnsi="Georgia" w:cs="Calibri,Italic"/>
          <w:i/>
          <w:iCs/>
        </w:rPr>
        <w:t xml:space="preserve">Reading and reasoning beyond the primary grades. </w:t>
      </w:r>
      <w:r w:rsidRPr="00227425">
        <w:rPr>
          <w:rFonts w:ascii="Georgia" w:hAnsi="Georgia" w:cs="Calibri"/>
        </w:rPr>
        <w:t xml:space="preserve">Boston, MA: </w:t>
      </w:r>
      <w:proofErr w:type="spellStart"/>
      <w:r w:rsidRPr="00227425">
        <w:rPr>
          <w:rFonts w:ascii="Georgia" w:hAnsi="Georgia" w:cs="Calibri"/>
        </w:rPr>
        <w:t>Allyn</w:t>
      </w:r>
      <w:proofErr w:type="spellEnd"/>
      <w:r w:rsidRPr="00227425">
        <w:rPr>
          <w:rFonts w:ascii="Georgia" w:hAnsi="Georgia" w:cs="Calibri"/>
        </w:rPr>
        <w:t xml:space="preserve"> &amp; Bacon.</w:t>
      </w:r>
    </w:p>
    <w:p w:rsidR="00227425" w:rsidRPr="00227425" w:rsidRDefault="00227425" w:rsidP="0022742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spellStart"/>
      <w:r w:rsidRPr="00227425">
        <w:rPr>
          <w:rFonts w:ascii="Georgia" w:hAnsi="Georgia" w:cs="Calibri"/>
        </w:rPr>
        <w:t>Wiliam</w:t>
      </w:r>
      <w:proofErr w:type="spellEnd"/>
      <w:r w:rsidRPr="00227425">
        <w:rPr>
          <w:rFonts w:ascii="Georgia" w:hAnsi="Georgia" w:cs="Calibri"/>
        </w:rPr>
        <w:t xml:space="preserve">, D. (2011). </w:t>
      </w:r>
      <w:proofErr w:type="gramStart"/>
      <w:r w:rsidRPr="00227425">
        <w:rPr>
          <w:rFonts w:ascii="Georgia" w:hAnsi="Georgia" w:cs="Calibri,Italic"/>
          <w:i/>
          <w:iCs/>
        </w:rPr>
        <w:t>Embedded formative assessment</w:t>
      </w:r>
      <w:r w:rsidRPr="00227425">
        <w:rPr>
          <w:rFonts w:ascii="Georgia" w:hAnsi="Georgia" w:cs="Calibri"/>
        </w:rPr>
        <w:t>.</w:t>
      </w:r>
      <w:proofErr w:type="gramEnd"/>
      <w:r w:rsidRPr="00227425">
        <w:rPr>
          <w:rFonts w:ascii="Georgia" w:hAnsi="Georgia" w:cs="Calibri"/>
        </w:rPr>
        <w:t xml:space="preserve"> Bloomington, IN: Solution Tree Press.</w:t>
      </w:r>
    </w:p>
    <w:p w:rsidR="006977E0" w:rsidRP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Modified from a Copyright 2012 by the Illinois State Board of Education</w:t>
      </w:r>
    </w:p>
    <w:p w:rsidR="006977E0" w:rsidRDefault="006977E0" w:rsidP="006977E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Content contained is licensed under a Creative Commons Attribution-</w:t>
      </w:r>
      <w:proofErr w:type="spellStart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ShareAlike</w:t>
      </w:r>
      <w:proofErr w:type="spellEnd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3.0 </w:t>
      </w:r>
      <w:proofErr w:type="spellStart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Unported</w:t>
      </w:r>
      <w:proofErr w:type="spellEnd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License</w:t>
      </w:r>
    </w:p>
    <w:p w:rsidR="000666AE" w:rsidRPr="006977E0" w:rsidRDefault="000666AE" w:rsidP="006977E0"/>
    <w:sectPr w:rsidR="000666AE" w:rsidRPr="006977E0" w:rsidSect="006977E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7E0"/>
    <w:rsid w:val="000666AE"/>
    <w:rsid w:val="00227425"/>
    <w:rsid w:val="0069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2012-08-21T09:15:00Z</dcterms:created>
  <dcterms:modified xsi:type="dcterms:W3CDTF">2012-08-21T09:30:00Z</dcterms:modified>
</cp:coreProperties>
</file>